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技术要求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131846010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项目名称：制动器底板人工铆焊线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包2：点铆专机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项目需求：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根据生产线工艺要求，需采购1台点铆专机及除尘装置的方案设计、制造、运输、安装、调试、培训、售后服务等。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、项目整体要求：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、设备工作环境及条件：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（1）温度：-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℃～45℃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（2）相对湿度： ≤85%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（3）电源电压： 380V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（4）电源频率： 50Hz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（5）压缩空气： 工作压力＜0.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MPa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、工作制度：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（1）每年工作日：251天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（2）每天工作班：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（3）每天每班工作时间：8小时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有效工作时间：7h；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产品换产时间小于0.5小时；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（6）合格率：99.5%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3、生产纲领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1.5t制动器年产量20000件；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2.0t制动器年产量60000件；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工艺要求总述：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1、加工对象及加工内容</w:t>
      </w:r>
    </w:p>
    <w:tbl>
      <w:tblPr>
        <w:tblStyle w:val="6"/>
        <w:tblW w:w="80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656"/>
        <w:gridCol w:w="2010"/>
        <w:gridCol w:w="162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图号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BOM图号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HR181B3703</w:t>
            </w:r>
          </w:p>
        </w:tc>
        <w:tc>
          <w:tcPr>
            <w:tcW w:w="165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底板焊件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A81B3-72001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加强板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电阻焊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A81B3-72011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底板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22493-71100G</w:t>
            </w:r>
          </w:p>
        </w:tc>
        <w:tc>
          <w:tcPr>
            <w:tcW w:w="1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制动器底板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22493-71100G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制动器底板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电阻焊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22493-71150G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加强板</w:t>
            </w:r>
          </w:p>
        </w:tc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80" w:hanging="560" w:hangingChars="200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drawing>
          <wp:inline distT="0" distB="0" distL="114300" distR="114300">
            <wp:extent cx="4011295" cy="2775585"/>
            <wp:effectExtent l="0" t="0" r="8255" b="5715"/>
            <wp:docPr id="6" name="图片 6" descr="WXWorkLocal_172411887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WXWorkLocal_17241188784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1295" cy="277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1.5t底板</w:t>
      </w:r>
    </w:p>
    <w:p>
      <w:pPr>
        <w:pStyle w:val="2"/>
        <w:ind w:left="0" w:leftChars="0" w:firstLine="0" w:firstLineChars="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120515" cy="2609850"/>
            <wp:effectExtent l="0" t="0" r="1333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051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2.0t底板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1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2、生产节拍：≤60s/件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加工流程：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人工上件（底板、加强板）→自动送入→自动铆接→铆接完成后自动送出→人工下件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480" w:hanging="560" w:hanging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点铆机要求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要求控制精度高、输出电流稳定、感抗影响小、焊接变压器质量轻、飞溅少、焊接质量稳定、热效率高等；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电流调节快速准确，焊接过程更加容易控制，且更加稳定；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每点焊接强度应大于10000N，焊接间隙小于0.2，要求无焊接毛刺；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要求焊点位置无凸起；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采用环保节能焊机；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机架主体采用钢板与型材焊接方式，具有足够的刚性。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冷却系统要求满足-20℃条件正常工作。</w:t>
      </w:r>
    </w:p>
    <w:p>
      <w:pPr>
        <w:pStyle w:val="2"/>
        <w:ind w:left="0" w:leftChars="0" w:firstLine="0" w:firstLineChars="0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fldChar w:fldCharType="begin"/>
      </w:r>
      <w:r>
        <w:rPr>
          <w:rFonts w:ascii="宋体" w:hAnsi="宋体" w:eastAsia="宋体" w:cs="宋体"/>
          <w:sz w:val="28"/>
          <w:szCs w:val="28"/>
        </w:rPr>
        <w:instrText xml:space="preserve">INCLUDEPICTURE \d "C:\\Users\\Administrator\\AppData\\Local\\Temp\\企业微信截图_1725331529352.png" \* MERGEFORMATINET </w:instrText>
      </w:r>
      <w:r>
        <w:rPr>
          <w:rFonts w:ascii="宋体" w:hAnsi="宋体" w:eastAsia="宋体" w:cs="宋体"/>
          <w:sz w:val="28"/>
          <w:szCs w:val="28"/>
        </w:rPr>
        <w:fldChar w:fldCharType="separate"/>
      </w:r>
      <w:r>
        <w:rPr>
          <w:rFonts w:ascii="宋体" w:hAnsi="宋体" w:eastAsia="宋体" w:cs="宋体"/>
          <w:sz w:val="28"/>
          <w:szCs w:val="28"/>
        </w:rPr>
        <w:drawing>
          <wp:inline distT="0" distB="0" distL="114300" distR="114300">
            <wp:extent cx="3533775" cy="3048635"/>
            <wp:effectExtent l="0" t="0" r="9525" b="1841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5450" t="5083" r="3276" b="11493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304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fldChar w:fldCharType="end"/>
      </w:r>
    </w:p>
    <w:p>
      <w:pPr>
        <w:pStyle w:val="5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点焊机示意图（仅做参考）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5、控制系统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 焊接控制器采用全数字化的焊接系统，配有集控制、调节、监控、自诊断及报警等功能为一体的焊机控制系统。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2）配备工控机及触摸式液晶显示屏。面板上设置有功能选择开关、操作按钮及急停开关等。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3）焊接压力及锻压压力采用电控比例阀调节（控制系统数字调节），精度及再现性高；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4）该系统应能够保存60个工作日内的所有焊点参数，以利于事后对焊接质量的检验与评估。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5）控制部分采用伺服系统进行集中控制，有效保证电控部分的可靠性，同时预留机器人接口。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6、夹具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1）夹具要求调整方便快捷，辅助时间少，劳动强度低。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2）夹具应具快速切换结构,便于产品切换。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3）夹具定位基准优先选择支撑销安装孔,定位夹具处零件需要淬火处理。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4）夹具定位基准的选取要考虑到准确性、一致性。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5）夹具的设计应合理、安全、可靠,要方便工件的装夹。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6）夹具定位采用膨胀销以方便上下料，同时满足产品的准确定位。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7）在不影响定位准确条件下,尽量减少不同产品装夹方式的种类和辅助设备。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焊接烟尘处理装置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烟尘集中处理,除尘系统运行中, 各类有害烟尘和粉尘通过管道进入到除尘主机内，在柜体内进风口处设有火花分离装置, 可拦截进入气流内含有的大颗粒粉尘和火花, 并直接被分离掉落至粉尘收集箱内。收集率不得小于90%，达到室内排放标准。</w:t>
      </w:r>
    </w:p>
    <w:bookmarkEnd w:id="0"/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五、设备通用要求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1、设计参考标准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 5226.1-2008     机械安全机械电气设备 第1部分：通用技术条件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GB50169-2006       电气装置安装工程 接地装置施工及验收规范 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GBJ232-82          电气装置安装工程施工及验收规范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2、设备布置紧凑，技术先进，运行连续有效，安全性高，综合能耗低，操作维护简单，运行费用低。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3、设备的控制系统保证自动控制，技术先进可靠，能够自动完成正常运行时各项技术指标和功能，具备连锁功能以防误操作。能够显示和处理设备报警。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4、设备采用标准的电气、仪表元器件和设备组件，控制系统应具有可维护性和可扩展性。主要元器件需为著名品牌。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5、设备计量单位采用国家法定单位。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6、设备制造材料执行国家最新标准。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7、技术要求只是通用性要求，设计方应根据自身特点推荐最佳方案，并详细阐明设备的其它优势及关键技术指标。方案应满足或高于本技术要求描述的技术标准。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8、设计方进行系统设计时应在满足需方要求、允许精度的情况下充分考虑系统的总体造价、运行费用及维护、保养的方便性。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9、设备应设置安全控制按钮。在发生危险时，方便操作人员在工位就近位置能够迅速停止设备工作。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六、环保要求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1、设备颜色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设备主体、公共底座、变位机、夹具、辊道支架等采用RAL7032，防护盖板等采用RAL1023，其余精度件发黑处理。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2、噪音要求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设备投入使用后，噪音要满足环保要求（工作场所噪音不超过80分贝；厂界噪音夜间不超过50分贝、白天不超过60分贝）。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3、除尘要求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颗粒物排放小于120mg/m3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封闭区域粉尘小于8mg/m3（测三个点位）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4、三方环保检测报告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七、MES联网要求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 xml:space="preserve"> 控制系统接入工厂MES系统，可在MES系统中对所有设备运行查看。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1、控制系统必须预留MES系统接口，供设备联网使用，禁止使用无线网络进行通讯，避免使用交换机二次转接。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2、 控制系统PLC设备（含子PLC）网络IP地址必须按照网络规范统一划定，不能自行定义自己家设备的IP及子网掩码。机联网服务器端到现场设备端网络通畅，开放PLC端口。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3、设备交付验收，设备厂家连同程序及典表一同交付，程序注释要清晰，具备可读性。并对PLC典表（PLC数据地址、代表的数据内容、数据长度、数据类型等说明文件）内容正确性负责。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4、 设备交付验收，设备厂家需明确提供PLC型号、PLC设备典表。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八、运输、包装与验收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选择运输风险小、运费低、距离短的运输方式，直到合同指定的交货地点，要求符合运输装卸要保证求，以安全无损的运到收货地点。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包装应按国家标准或部颁（专业）标准规定执行，由于包装不善引起的货物锈蚀、损坏、丢失均由中标方承担。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包装箱应有明显的包装编号，每件包装箱内应附一份详细的装箱单和质量合格证。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设备到货后，需方依据供方提供的清单进行验收。对缺件、质量损坏等做出记录，供方负责处理。如属于运输部门造成的设备性能下降、破损、缺件等事故由供方负责解决。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由供方负责设备的安装；安装过程中所用工、量、器、检具、等均由供方自行准备；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设备安装完工后，供方应将产品合格证、使用说明书等技术资料交付给需方。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设备验收按照双方签署技术协议具体条款。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九、售后服务要求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供方以优惠的价格提供终身配件。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附售后服务承诺书。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完善的售后服务措施，良好的备品配件供应能力，高水平的技术维修人员以及高效率的工作作风。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4、供方应免费为需方提供人员培训，应细心对操作人员讲解操作规程及方法，并进行详细的操作培训直至熟练为止。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5、质保期：机械一年、电气二年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十、资料要求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 设计应符合相关国家标准及行业规范。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2设计图纸 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1份/套（同时可提供电子版）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3出厂检验报告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4发货清单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5易损件清单（型号、供应厂家）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十一、商务要求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1、交货地点：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厂内指定地点。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2、交货日期：合同签订后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60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交货，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天内安装完成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3、价 格：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3.1. 所有报价均为含税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13%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报价，报价应分别体现总价和分项报价。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3.2. 总价包括设备供应价、运输价（含保险费）、管理费、技术服务费、备品备件费、设备装卸费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设备安装、调试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等各项费用。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 在交货期限或工程工期内，供应总价一次包死，不受国家政策性调价或原材料市场价格变化的影响，并作为最终结算的唯一依据。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4、货款的支付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合同签订后预付30%货款，货到后付至60%，同时开具全额增值税发票。验收合格后付至90%，余款10%作为保证金，质保期满后一次付清。</w:t>
      </w:r>
      <w:bookmarkStart w:id="1" w:name="_GoBack"/>
      <w:bookmarkEnd w:id="1"/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十二、合同格式、生效及其他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设备合同按国家合同法有关规定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宝鸡合力叉车有限公司合同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格式签订。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合同生效后，供需双方都应严格履行合同，如出现问题应按照《中华人民共和国合同法》等有关规定办理。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合同在执行过程中出现的未尽事宜，双方在不违背合同询价采购文件的原则下协商解决，协商结果以“纪要”形式为合同的附件与合同具有同等法律效力。</w:t>
      </w:r>
    </w:p>
    <w:p>
      <w:pPr>
        <w:keepNext w:val="0"/>
        <w:keepLines w:val="0"/>
        <w:pageBreakBefore w:val="0"/>
        <w:tabs>
          <w:tab w:val="left" w:pos="91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询价采购文件、应答文件均为合同不可分割的部分，如发现供货合同与上述文件不一致时，宝鸡合力叉车有限公司有权制止签订合同或终止合同。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D118D"/>
    <w:multiLevelType w:val="singleLevel"/>
    <w:tmpl w:val="B3AD118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7A06BF"/>
    <w:multiLevelType w:val="singleLevel"/>
    <w:tmpl w:val="FB7A06BF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D74E1"/>
    <w:rsid w:val="373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0"/>
    <w:pPr>
      <w:tabs>
        <w:tab w:val="left" w:pos="1176"/>
      </w:tabs>
      <w:spacing w:after="120"/>
      <w:ind w:left="420" w:leftChars="200" w:firstLine="420" w:firstLineChars="200"/>
    </w:pPr>
    <w:rPr>
      <w:rFonts w:ascii="Calibri"/>
    </w:rPr>
  </w:style>
  <w:style w:type="paragraph" w:styleId="3">
    <w:name w:val="Body Text Indent"/>
    <w:basedOn w:val="1"/>
    <w:next w:val="4"/>
    <w:qFormat/>
    <w:uiPriority w:val="99"/>
    <w:pPr>
      <w:widowControl/>
      <w:ind w:firstLine="586"/>
      <w:jc w:val="left"/>
    </w:pPr>
    <w:rPr>
      <w:kern w:val="0"/>
      <w:sz w:val="28"/>
      <w:szCs w:val="20"/>
    </w:rPr>
  </w:style>
  <w:style w:type="paragraph" w:styleId="4">
    <w:name w:val="envelope return"/>
    <w:basedOn w:val="1"/>
    <w:qFormat/>
    <w:uiPriority w:val="0"/>
    <w:pPr>
      <w:wordWrap w:val="0"/>
      <w:adjustRightInd w:val="0"/>
      <w:snapToGrid w:val="0"/>
      <w:spacing w:line="360" w:lineRule="atLeast"/>
      <w:textAlignment w:val="baseline"/>
    </w:pPr>
    <w:rPr>
      <w:rFonts w:ascii="Arial" w:hAnsi="Arial" w:eastAsia="BatangChe"/>
      <w:kern w:val="0"/>
      <w:sz w:val="20"/>
      <w:lang w:eastAsia="ko-KR"/>
    </w:rPr>
  </w:style>
  <w:style w:type="paragraph" w:styleId="5">
    <w:name w:val="List"/>
    <w:basedOn w:val="1"/>
    <w:qFormat/>
    <w:uiPriority w:val="99"/>
    <w:pPr>
      <w:ind w:left="420" w:hanging="42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2024-10-22T06:42:00Z</dcterms:created>
  <dc:creator>Administrator</dc:creator>
  <cp:lastModifiedBy>Administrator</cp:lastModifiedBy>
  <dcterms:modified xsi:type="dcterms:W3CDTF">2024-10-22T06:44:36Z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A837D1032B104A52B676AEB00A3CEC54</vt:lpwstr>
  </property>
</Properties>
</file>