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制动器底板人工铆焊线改造（包1：加工中心）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技术要求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制动器底板人工铆焊线-加工中心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项目需求：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根据生产线工艺要求，需采购1台立式加工中心带4轴转台、液压夹具等的方案设计、制造、运输、安装、调试、培训、售后服务等。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、项目整体要求：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、设备工作环境及条件：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（1）温度：-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℃～45℃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（2）相对湿度： ≤85%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（3）电源电压： 380V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（4）电源频率： 50Hz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（5）压缩空气： 工作压力＜0.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MPa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、工作制度：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（1）每年工作日：251天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（2）每天工作班：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单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（3）每天每班工作时间：8小时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（4）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有效工作时间：7h；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产品换产时间小于0.5小时；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（6）合格率：99.5%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3、生产纲领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1.5t制动器年产量20000件；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2.0t制动器年产量60000件；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工艺要求总述：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textAlignment w:val="auto"/>
        <w:outlineLvl w:val="1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1、加工对象及加工内容</w:t>
      </w:r>
    </w:p>
    <w:tbl>
      <w:tblPr>
        <w:tblStyle w:val="6"/>
        <w:tblW w:w="75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083"/>
        <w:gridCol w:w="3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产品代号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加工内容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0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A81B3-72011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底板</w:t>
            </w:r>
          </w:p>
        </w:tc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钻斜孔（无需倒角）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22493-71100G</w:t>
            </w:r>
          </w:p>
        </w:tc>
        <w:tc>
          <w:tcPr>
            <w:tcW w:w="2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制动器底板</w:t>
            </w:r>
          </w:p>
        </w:tc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中孔倒角、钻斜孔</w:t>
            </w:r>
          </w:p>
        </w:tc>
      </w:tr>
    </w:tbl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12995" cy="3246755"/>
            <wp:effectExtent l="0" t="0" r="1905" b="1079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2995" cy="324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1.5t底板</w:t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drawing>
          <wp:inline distT="0" distB="0" distL="114300" distR="114300">
            <wp:extent cx="4906645" cy="2715895"/>
            <wp:effectExtent l="0" t="0" r="8255" b="8255"/>
            <wp:docPr id="7" name="图片 7" descr="WXWorkLocal_17212712356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XWorkLocal_172127123563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2.0t底板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1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2、生产节拍：≤60s/件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outlineLvl w:val="1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加工流程：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Chars="0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人工上件（底板）→液压夹具自动夹紧→自动倒角、钻斜孔→加工完成后夹具自动放松→人工下件</w:t>
      </w:r>
    </w:p>
    <w:p>
      <w:pPr>
        <w:pStyle w:val="5"/>
        <w:numPr>
          <w:ilvl w:val="0"/>
          <w:numId w:val="0"/>
        </w:numPr>
        <w:ind w:leftChars="0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4、设备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主要参数要求（参考）</w:t>
      </w:r>
    </w:p>
    <w:tbl>
      <w:tblPr>
        <w:tblStyle w:val="6"/>
        <w:tblW w:w="8188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7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 作 台：≥1000*500mm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工作台承重：≥600KG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三轴行程：≥800*550*550mm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三轴丝杆直径（φ≥40mm）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配置主轴油冷机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Y向机内双螺杆排屑装置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XYZ轴滚柱线轨，Z轴6滑块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Z轴断电提拉功能（保护工件表面）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24把刀库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主轴侧喷+环形喷水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数控系统：国产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预置第四轴控制M代码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预置液压夹具控制M代码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配机外链式排屑机含小车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配盘式油水分离机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37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735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配第四轴数控转台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outlineLvl w:val="1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设备配置要求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1）工件吹气系统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2）切削液冷却系统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3）自动集中润滑系统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4）主轴温控系统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5）手持操作单元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6）电气箱热交换机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7）油水分离系统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8）机械手臂和换刀结构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9）床身导轨防护罩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10）全防护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11）三色警报灯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12）工作灯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13）CF卡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14）气枪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15）油冷机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leftChars="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16）油雾收集器</w:t>
      </w:r>
    </w:p>
    <w:p>
      <w:pPr>
        <w:pStyle w:val="5"/>
        <w:numPr>
          <w:ilvl w:val="0"/>
          <w:numId w:val="0"/>
        </w:numPr>
        <w:ind w:leftChars="0"/>
        <w:outlineLvl w:val="1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6、特殊配置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配备1台满足两种制动器底板加工的转台。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2）工装夹具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28"/>
          <w:szCs w:val="28"/>
          <w:u w:val="none"/>
          <w:lang w:val="en-US" w:eastAsia="zh-CN"/>
        </w:rPr>
        <w:t>夹具要求调整方便快捷，辅助时间少，劳动强度低。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夹具应具快速切换结构,便于产品切换。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夹具定位基准优先选择支撑销安装孔,定位夹具处零件需要淬火处理。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夹具定位基准的选取要考虑到准确性、一致性。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夹具的设计应合理、安全、可靠,要方便工件的装夹。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在不影响定位准确条件下,尽量减少不同产品装夹方式的种类和辅助设备。</w:t>
      </w:r>
    </w:p>
    <w:p>
      <w:pPr>
        <w:pStyle w:val="5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4897120" cy="3638550"/>
            <wp:effectExtent l="0" t="0" r="17780" b="0"/>
            <wp:docPr id="2" name="图片 1" descr="99997e152e25d2c1df34098af482bbfd_comp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99997e152e25d2c1df34098af482bbfd_compress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712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夹具示意图（仅做参考）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五、设备通用要求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1、设计参考标准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 5226.1-2008     机械安全机械电气设备 第1部分：通用技术条件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GB50169-2006       电气装置安装工程 接地装置施工及验收规范 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GBJ232-82          电气装置安装工程施工及验收规范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2、设备布置紧凑，技术先进，运行连续有效，安全性高，综合能耗低，操作维护简单，运行费用低。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3、设备的控制系统保证自动控制，技术先进可靠，能够自动完成正常运行时各项技术指标和功能，具备连锁功能以防误操作。能够显示和处理设备报警。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4、设备采用标准的电气、仪表元器件和设备组件，控制系统应具有可维护性和可扩展性。主要元器件需为著名品牌。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5、设备计量单位采用国家法定单位。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6、设备制造材料执行国家最新标准。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7、技术要求只是通用性要求，设计方应根据自身特点推荐最佳方案，并详细阐明设备的其它优势及关键技术指标。方案应满足或高于本技术要求描述的技术标准。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8、设计方进行系统设计时应在满足需方要求、允许精度的情况下充分考虑系统的总体造价、运行费用及维护、保养的方便性。</w:t>
      </w:r>
    </w:p>
    <w:p>
      <w:pPr>
        <w:pStyle w:val="2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9、设备应设置安全控制按钮。在发生危险时，方便操作人员在工位就近位置能够迅速停止设备工作。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六、环保要求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1、设备颜色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设备主体、公共底座、变位机、夹具、辊道支架等采用RAL7032，防护盖板等采用RAL1023，其余精度件发黑处理。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2、噪音要求</w:t>
      </w:r>
    </w:p>
    <w:p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  <w:t>设备投入使用后，噪音要满足环保要求（工作场所噪音不超过80分贝；厂界噪音夜间不超过50分贝、白天不超过60分贝）。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七、MES联网要求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 xml:space="preserve"> 控制系统接入工厂MES系统，可在MES系统中对所有设备运行查看。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1、控制系统必须预留MES系统接口，供设备联网使用，禁止使用无线网络进行通讯，避免使用交换机二次转接。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2、 控制系统PLC设备（含子PLC）网络IP地址必须按照网络规范统一划定，不能自行定义自己家设备的IP及子网掩码。机联网服务器端到现场设备端网络通畅，开放PLC端口。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3、设备交付验收，设备厂家连同程序及典表一同交付，程序注释要清晰，具备可读性。并对PLC典表（PLC数据地址、代表的数据内容、数据长度、数据类型等说明文件）内容正确性负责。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4、 设备交付验收，设备厂家需明确提供PLC型号、PLC设备典表。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八、运输、包装与验收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选择运输风险小、运费低、距离短的运输方式，直到合同指定的交货地点，要求符合运输装卸要保证求，以安全无损的运到收货地点。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包装应按国家标准或部颁（专业）标准规定执行，由于包装不善引起的货物锈蚀、损坏、丢失均由中标方承担。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包装箱应有明显的包装编号，每件包装箱内应附一份详细的装箱单和质量合格证。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设备到货后，需方依据供方提供的清单进行验收。对缺件、质量损坏等做出记录，供方负责处理。如属于运输部门造成的设备性能下降、破损、缺件等事故由供方负责解决。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由供方负责设备的安装；安装过程中所用工、量、器、检具、等均由供方自行准备；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设备安装完工后，供方应将产品合格证、使用说明书等技术资料交付给需方。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设备验收按照双方签署技术协议具体条款。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九、售后服务要求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供方以优惠的价格提供终身配件。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附售后服务承诺书。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完善的售后服务措施，良好的备品配件供应能力，高水平的技术维修人员以及高效率的工作作风。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4、供方应免费为需方提供人员培训，应细心对操作人员讲解操作规程及方法，并进行详细的操作培训直至熟练为止。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5、质保期：机械一年、电气二年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十、资料要求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 设计应符合相关国家标准及行业规范。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2设计图纸 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1份/套（同时可提供电子版）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3出厂检验报告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4发货清单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5易损件清单（型号、供应厂家）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1份/套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十一、商务要求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1、交货地点：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厂内指定地点。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2、交货日期：合同签订后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60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交货，</w:t>
      </w:r>
      <w:r>
        <w:rPr>
          <w:rFonts w:hint="eastAsia" w:ascii="Times New Roman" w:hAnsi="Times New Roman" w:eastAsia="仿宋"/>
          <w:b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天内安装完成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3、价 格：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3.1. 所有报价均为含税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13%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报价，报价应分别体现总价和分项报价。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3.2. 总价包括设备供应价、运输价（含保险费）、管理费、技术服务费、备品备件费、设备装卸费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设备安装、调试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等各项费用。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 在交货期限或工程工期内，供应总价一次包死，不受国家政策性调价或原材料市场价格变化的影响，并作为最终结算的唯一依据。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4、货款的支付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合同签订后预付30%货款，货到后付至60%，同时开具全额增值税发票。验收合格后付至90%，余款10%作为保证金，质保期满后一次付清。</w:t>
      </w:r>
    </w:p>
    <w:p>
      <w:pPr>
        <w:numPr>
          <w:ilvl w:val="0"/>
          <w:numId w:val="0"/>
        </w:numPr>
        <w:ind w:leftChars="0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十二、合同格式、生效及其他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设备合同按国家合同法有关规定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宝鸡合力叉车有限公司合同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格式签订。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合同生效后，供需双方都应严格履行合同，如出现问题应按照《中华人民共和国合同法》等有关规定办理。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合同在执行过程中出现的未尽事宜，双方在不违背合同询价采购文件的原则下协商解决，协商结果以“纪要”形式为合同的附件与合同具有同等法律效力。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仿宋" w:hAnsi="仿宋" w:eastAsia="仿宋" w:cs="仿宋"/>
          <w:color w:val="0D0D0D" w:themeColor="text1" w:themeTint="F2"/>
          <w:sz w:val="30"/>
          <w:szCs w:val="3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询价采购文件、应答文件均为合同不可分割的部分，如发现供货合同与上述文件不一致时，宝鸡合力叉车有限公司有权制止签订合同或终止合同。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Che">
    <w:altName w:val="Malgun Gothic"/>
    <w:panose1 w:val="02030609000101010101"/>
    <w:charset w:val="81"/>
    <w:family w:val="moder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12554"/>
    <w:rsid w:val="08612554"/>
    <w:rsid w:val="50E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0"/>
    <w:pPr>
      <w:tabs>
        <w:tab w:val="left" w:pos="1176"/>
      </w:tabs>
      <w:spacing w:after="120"/>
      <w:ind w:left="420" w:leftChars="200" w:firstLine="420" w:firstLineChars="200"/>
    </w:pPr>
    <w:rPr>
      <w:rFonts w:ascii="Calibri"/>
    </w:rPr>
  </w:style>
  <w:style w:type="paragraph" w:styleId="3">
    <w:name w:val="Body Text Indent"/>
    <w:basedOn w:val="1"/>
    <w:next w:val="4"/>
    <w:qFormat/>
    <w:uiPriority w:val="99"/>
    <w:pPr>
      <w:widowControl/>
      <w:ind w:firstLine="586"/>
      <w:jc w:val="left"/>
    </w:pPr>
    <w:rPr>
      <w:kern w:val="0"/>
      <w:sz w:val="28"/>
      <w:szCs w:val="20"/>
    </w:rPr>
  </w:style>
  <w:style w:type="paragraph" w:styleId="4">
    <w:name w:val="envelope return"/>
    <w:basedOn w:val="1"/>
    <w:qFormat/>
    <w:uiPriority w:val="0"/>
    <w:pPr>
      <w:wordWrap w:val="0"/>
      <w:adjustRightInd w:val="0"/>
      <w:snapToGrid w:val="0"/>
      <w:spacing w:line="360" w:lineRule="atLeast"/>
      <w:textAlignment w:val="baseline"/>
    </w:pPr>
    <w:rPr>
      <w:rFonts w:ascii="Arial" w:hAnsi="Arial" w:eastAsia="BatangChe"/>
      <w:kern w:val="0"/>
      <w:sz w:val="20"/>
      <w:lang w:eastAsia="ko-KR"/>
    </w:rPr>
  </w:style>
  <w:style w:type="paragraph" w:styleId="5">
    <w:name w:val="List"/>
    <w:basedOn w:val="1"/>
    <w:qFormat/>
    <w:uiPriority w:val="99"/>
    <w:pPr>
      <w:ind w:left="420" w:hanging="42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2024-10-22T06:37:00Z</dcterms:created>
  <dc:creator>Administrator</dc:creator>
  <cp:lastModifiedBy>Administrator</cp:lastModifiedBy>
  <dcterms:modified xsi:type="dcterms:W3CDTF">2024-10-22T06:54:08Z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CDF789B69EB44500BF2B1242EF3199DA</vt:lpwstr>
  </property>
</Properties>
</file>